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6ED7" w:rsidP="3A55DF5D" w:rsidRDefault="00A8142D" w14:paraId="545FADC0" w14:textId="66002790">
      <w:pPr>
        <w:jc w:val="center"/>
        <w:rPr>
          <w:b w:val="1"/>
          <w:bCs w:val="1"/>
          <w:sz w:val="28"/>
          <w:szCs w:val="28"/>
        </w:rPr>
      </w:pPr>
      <w:r w:rsidRPr="681785D9" w:rsidR="75A125BF">
        <w:rPr>
          <w:b w:val="1"/>
          <w:bCs w:val="1"/>
          <w:sz w:val="28"/>
          <w:szCs w:val="28"/>
        </w:rPr>
        <w:t xml:space="preserve">RUHS ED </w:t>
      </w:r>
      <w:r w:rsidRPr="681785D9" w:rsidR="3FEF0B9B">
        <w:rPr>
          <w:b w:val="1"/>
          <w:bCs w:val="1"/>
          <w:sz w:val="28"/>
          <w:szCs w:val="28"/>
        </w:rPr>
        <w:t xml:space="preserve">Radiology </w:t>
      </w:r>
      <w:r w:rsidRPr="681785D9" w:rsidR="67A2FFA7">
        <w:rPr>
          <w:b w:val="1"/>
          <w:bCs w:val="1"/>
          <w:sz w:val="28"/>
          <w:szCs w:val="28"/>
        </w:rPr>
        <w:t>Guidelines</w:t>
      </w:r>
      <w:r w:rsidRPr="681785D9" w:rsidR="077B88E2">
        <w:rPr>
          <w:b w:val="1"/>
          <w:bCs w:val="1"/>
          <w:sz w:val="28"/>
          <w:szCs w:val="28"/>
        </w:rPr>
        <w:t>: Quick Guide</w:t>
      </w:r>
    </w:p>
    <w:p w:rsidR="4402BB18" w:rsidP="52F9D0C3" w:rsidRDefault="4402BB18" w14:paraId="5FA387CF" w14:textId="7E7CD487">
      <w:pPr>
        <w:pStyle w:val="ListParagraph"/>
        <w:numPr>
          <w:ilvl w:val="0"/>
          <w:numId w:val="8"/>
        </w:numPr>
        <w:ind/>
        <w:jc w:val="left"/>
        <w:rPr>
          <w:b w:val="0"/>
          <w:bCs w:val="0"/>
          <w:sz w:val="28"/>
          <w:szCs w:val="28"/>
        </w:rPr>
      </w:pPr>
      <w:r w:rsidRPr="52F9D0C3" w:rsidR="39122B11">
        <w:rPr>
          <w:b w:val="0"/>
          <w:bCs w:val="0"/>
          <w:sz w:val="28"/>
          <w:szCs w:val="28"/>
        </w:rPr>
        <w:t>R</w:t>
      </w:r>
      <w:r w:rsidRPr="52F9D0C3" w:rsidR="077B88E2">
        <w:rPr>
          <w:b w:val="0"/>
          <w:bCs w:val="0"/>
          <w:sz w:val="28"/>
          <w:szCs w:val="28"/>
        </w:rPr>
        <w:t xml:space="preserve">efer to the intranet for the full policy details. This quick guide </w:t>
      </w:r>
      <w:r w:rsidRPr="52F9D0C3" w:rsidR="077B88E2">
        <w:rPr>
          <w:b w:val="0"/>
          <w:bCs w:val="0"/>
          <w:sz w:val="28"/>
          <w:szCs w:val="28"/>
        </w:rPr>
        <w:t>is</w:t>
      </w:r>
      <w:r w:rsidRPr="52F9D0C3" w:rsidR="077B88E2">
        <w:rPr>
          <w:b w:val="0"/>
          <w:bCs w:val="0"/>
          <w:sz w:val="28"/>
          <w:szCs w:val="28"/>
        </w:rPr>
        <w:t xml:space="preserve"> to be used as a supplement </w:t>
      </w:r>
      <w:r w:rsidRPr="52F9D0C3" w:rsidR="5ADB70F9">
        <w:rPr>
          <w:b w:val="0"/>
          <w:bCs w:val="0"/>
          <w:sz w:val="28"/>
          <w:szCs w:val="28"/>
        </w:rPr>
        <w:t>to</w:t>
      </w:r>
      <w:r w:rsidRPr="52F9D0C3" w:rsidR="077B88E2">
        <w:rPr>
          <w:b w:val="0"/>
          <w:bCs w:val="0"/>
          <w:sz w:val="28"/>
          <w:szCs w:val="28"/>
        </w:rPr>
        <w:t xml:space="preserve"> the policy</w:t>
      </w:r>
    </w:p>
    <w:p w:rsidR="360A6185" w:rsidP="52F9D0C3" w:rsidRDefault="360A6185" w14:paraId="06BB455C" w14:textId="5F381E49">
      <w:pPr>
        <w:pStyle w:val="ListParagraph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52F9D0C3" w:rsidR="360A6185">
        <w:rPr>
          <w:b w:val="0"/>
          <w:bCs w:val="0"/>
          <w:sz w:val="28"/>
          <w:szCs w:val="28"/>
        </w:rPr>
        <w:t>O</w:t>
      </w:r>
      <w:r w:rsidRPr="52F9D0C3" w:rsidR="2B56C406">
        <w:rPr>
          <w:b w:val="0"/>
          <w:bCs w:val="0"/>
          <w:sz w:val="28"/>
          <w:szCs w:val="28"/>
        </w:rPr>
        <w:t>rder Cr and</w:t>
      </w:r>
      <w:r w:rsidRPr="52F9D0C3" w:rsidR="22AE3607">
        <w:rPr>
          <w:b w:val="0"/>
          <w:bCs w:val="0"/>
          <w:sz w:val="22"/>
          <w:szCs w:val="22"/>
        </w:rPr>
        <w:t>/</w:t>
      </w:r>
      <w:r w:rsidRPr="52F9D0C3" w:rsidR="4835C06D">
        <w:rPr>
          <w:b w:val="0"/>
          <w:bCs w:val="0"/>
          <w:sz w:val="28"/>
          <w:szCs w:val="28"/>
        </w:rPr>
        <w:t>or Pregnancy test</w:t>
      </w:r>
      <w:r w:rsidRPr="52F9D0C3" w:rsidR="452BFCC9">
        <w:rPr>
          <w:b w:val="0"/>
          <w:bCs w:val="0"/>
          <w:sz w:val="28"/>
          <w:szCs w:val="28"/>
        </w:rPr>
        <w:t xml:space="preserve"> when indicated at the time of study order </w:t>
      </w:r>
      <w:r w:rsidRPr="52F9D0C3" w:rsidR="280C6528">
        <w:rPr>
          <w:b w:val="0"/>
          <w:bCs w:val="0"/>
          <w:sz w:val="28"/>
          <w:szCs w:val="28"/>
        </w:rPr>
        <w:t>and</w:t>
      </w:r>
      <w:r w:rsidRPr="52F9D0C3" w:rsidR="280C6528">
        <w:rPr>
          <w:b w:val="0"/>
          <w:bCs w:val="0"/>
          <w:sz w:val="22"/>
          <w:szCs w:val="22"/>
        </w:rPr>
        <w:t>/</w:t>
      </w:r>
      <w:r w:rsidRPr="52F9D0C3" w:rsidR="280C6528">
        <w:rPr>
          <w:b w:val="0"/>
          <w:bCs w:val="0"/>
          <w:sz w:val="28"/>
          <w:szCs w:val="28"/>
        </w:rPr>
        <w:t>or</w:t>
      </w:r>
      <w:r w:rsidRPr="52F9D0C3" w:rsidR="2B56C406">
        <w:rPr>
          <w:b w:val="0"/>
          <w:bCs w:val="0"/>
          <w:sz w:val="28"/>
          <w:szCs w:val="28"/>
        </w:rPr>
        <w:t xml:space="preserve"> write in the study order the necessary information to avoid imaging delays</w:t>
      </w:r>
      <w:r w:rsidRPr="52F9D0C3" w:rsidR="65C28BB1">
        <w:rPr>
          <w:b w:val="0"/>
          <w:bCs w:val="0"/>
          <w:sz w:val="28"/>
          <w:szCs w:val="28"/>
        </w:rPr>
        <w:t xml:space="preserve"> </w:t>
      </w:r>
    </w:p>
    <w:p w:rsidR="57D7AF43" w:rsidP="07C56693" w:rsidRDefault="57D7AF43" w14:paraId="171DA2D0" w14:textId="5E4FDFA7">
      <w:pPr>
        <w:pStyle w:val="Normal"/>
        <w:jc w:val="left"/>
        <w:rPr>
          <w:b w:val="1"/>
          <w:bCs w:val="1"/>
          <w:color w:val="4471C4"/>
          <w:sz w:val="32"/>
          <w:szCs w:val="32"/>
          <w:u w:val="single"/>
        </w:rPr>
      </w:pPr>
      <w:r w:rsidRPr="07C56693" w:rsidR="57D7AF43">
        <w:rPr>
          <w:b w:val="1"/>
          <w:bCs w:val="1"/>
          <w:color w:val="auto"/>
          <w:sz w:val="32"/>
          <w:szCs w:val="32"/>
          <w:u w:val="single"/>
        </w:rPr>
        <w:t>IV contrast and Cr:</w:t>
      </w:r>
      <w:r w:rsidRPr="07C56693" w:rsidR="57D7AF43">
        <w:rPr>
          <w:b w:val="1"/>
          <w:bCs w:val="1"/>
          <w:color w:val="auto"/>
          <w:sz w:val="32"/>
          <w:szCs w:val="32"/>
        </w:rPr>
        <w:t xml:space="preserve"> </w:t>
      </w:r>
    </w:p>
    <w:p w:rsidR="23274DAF" w:rsidP="07C56693" w:rsidRDefault="23274DAF" w14:paraId="41BB852D" w14:textId="4EEE704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2"/>
          <w:szCs w:val="22"/>
        </w:rPr>
      </w:pPr>
      <w:r w:rsidRPr="07C56693" w:rsidR="1AE51DAA">
        <w:rPr>
          <w:b w:val="1"/>
          <w:bCs w:val="1"/>
          <w:sz w:val="22"/>
          <w:szCs w:val="22"/>
        </w:rPr>
        <w:t>GFR</w:t>
      </w:r>
      <w:r w:rsidRPr="07C56693" w:rsidR="23274DAF">
        <w:rPr>
          <w:b w:val="1"/>
          <w:bCs w:val="1"/>
          <w:sz w:val="22"/>
          <w:szCs w:val="22"/>
        </w:rPr>
        <w:t xml:space="preserve"> within 30 days of exam for all patients </w:t>
      </w:r>
      <w:r w:rsidRPr="07C56693" w:rsidR="4544B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≥</w:t>
      </w:r>
      <w:r w:rsidRPr="07C56693" w:rsidR="23274DAF">
        <w:rPr>
          <w:b w:val="1"/>
          <w:bCs w:val="1"/>
          <w:sz w:val="22"/>
          <w:szCs w:val="22"/>
        </w:rPr>
        <w:t>60</w:t>
      </w:r>
      <w:r w:rsidRPr="07C56693" w:rsidR="2F281174">
        <w:rPr>
          <w:b w:val="1"/>
          <w:bCs w:val="1"/>
          <w:sz w:val="22"/>
          <w:szCs w:val="22"/>
        </w:rPr>
        <w:t>yo</w:t>
      </w:r>
      <w:r w:rsidRPr="07C56693" w:rsidR="23274DAF">
        <w:rPr>
          <w:b w:val="1"/>
          <w:bCs w:val="1"/>
          <w:sz w:val="22"/>
          <w:szCs w:val="22"/>
        </w:rPr>
        <w:t>, diabetic and or on metformin or metformin-containing drug combinations</w:t>
      </w:r>
    </w:p>
    <w:p w:rsidR="23274DAF" w:rsidP="07C56693" w:rsidRDefault="23274DAF" w14:paraId="47D50DC4" w14:textId="615AB785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</w:rPr>
      </w:pPr>
      <w:r w:rsidRPr="07C56693" w:rsidR="2FC6B22F">
        <w:rPr>
          <w:b w:val="1"/>
          <w:bCs w:val="1"/>
          <w:sz w:val="22"/>
          <w:szCs w:val="22"/>
        </w:rPr>
        <w:t>GFR</w:t>
      </w:r>
      <w:r w:rsidRPr="07C56693" w:rsidR="23274DAF">
        <w:rPr>
          <w:b w:val="1"/>
          <w:bCs w:val="1"/>
          <w:sz w:val="22"/>
          <w:szCs w:val="22"/>
        </w:rPr>
        <w:t xml:space="preserve"> </w:t>
      </w:r>
      <w:r w:rsidRPr="07C56693" w:rsidR="6A3E34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≥</w:t>
      </w:r>
      <w:r w:rsidRPr="07C56693" w:rsidR="6A3E34D5">
        <w:rPr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7C56693" w:rsidR="23274DAF">
        <w:rPr>
          <w:b w:val="1"/>
          <w:bCs w:val="1"/>
          <w:sz w:val="22"/>
          <w:szCs w:val="22"/>
        </w:rPr>
        <w:t xml:space="preserve">30mL/min: </w:t>
      </w:r>
      <w:r w:rsidRPr="07C56693" w:rsidR="7D2AA841">
        <w:rPr>
          <w:b w:val="1"/>
          <w:bCs w:val="1"/>
          <w:sz w:val="22"/>
          <w:szCs w:val="22"/>
        </w:rPr>
        <w:t>Ok for</w:t>
      </w:r>
      <w:r w:rsidRPr="07C56693" w:rsidR="23274DAF">
        <w:rPr>
          <w:b w:val="1"/>
          <w:bCs w:val="1"/>
          <w:sz w:val="22"/>
          <w:szCs w:val="22"/>
        </w:rPr>
        <w:t xml:space="preserve"> contrast</w:t>
      </w:r>
    </w:p>
    <w:p w:rsidR="23274DAF" w:rsidP="07C56693" w:rsidRDefault="23274DAF" w14:paraId="07A9B9BF" w14:textId="0D3F0491">
      <w:pPr>
        <w:pStyle w:val="ListParagraph"/>
        <w:numPr>
          <w:ilvl w:val="1"/>
          <w:numId w:val="1"/>
        </w:numPr>
        <w:jc w:val="left"/>
        <w:rPr>
          <w:b w:val="1"/>
          <w:bCs w:val="1"/>
          <w:sz w:val="22"/>
          <w:szCs w:val="22"/>
        </w:rPr>
      </w:pPr>
      <w:r w:rsidRPr="07C56693" w:rsidR="3B688E6E">
        <w:rPr>
          <w:b w:val="1"/>
          <w:bCs w:val="1"/>
          <w:sz w:val="22"/>
          <w:szCs w:val="22"/>
        </w:rPr>
        <w:t>GFR</w:t>
      </w:r>
      <w:r w:rsidRPr="07C56693" w:rsidR="23274DAF">
        <w:rPr>
          <w:b w:val="1"/>
          <w:bCs w:val="1"/>
          <w:sz w:val="22"/>
          <w:szCs w:val="22"/>
        </w:rPr>
        <w:t xml:space="preserve"> </w:t>
      </w:r>
      <w:r w:rsidRPr="07C56693" w:rsidR="7CEDC5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&lt;</w:t>
      </w:r>
      <w:r w:rsidRPr="07C56693" w:rsidR="7CEDC5DF">
        <w:rPr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7C56693" w:rsidR="23274DAF">
        <w:rPr>
          <w:b w:val="1"/>
          <w:bCs w:val="1"/>
          <w:sz w:val="22"/>
          <w:szCs w:val="22"/>
        </w:rPr>
        <w:t>30m</w:t>
      </w:r>
      <w:r w:rsidRPr="07C56693" w:rsidR="23274DAF">
        <w:rPr>
          <w:b w:val="1"/>
          <w:bCs w:val="1"/>
          <w:sz w:val="22"/>
          <w:szCs w:val="22"/>
        </w:rPr>
        <w:t>L/min: No contrast unless benefit far outweigh the risk, determined by Radiologist</w:t>
      </w:r>
    </w:p>
    <w:p w:rsidR="58B9EA78" w:rsidP="07C56693" w:rsidRDefault="58B9EA78" w14:paraId="6BBBB56B" w14:textId="6489AFA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58B9EA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If a recent creatinine is not available, the Ordering Provider will discuss with Radiologist regarding risks versus benefits of contrast.</w:t>
      </w:r>
      <w:r w:rsidRPr="07C56693" w:rsidR="58B9EA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07C56693" w:rsidR="58B9EA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Radiologist will determine if contrast will be given. </w:t>
      </w:r>
    </w:p>
    <w:p w:rsidR="58B9EA78" w:rsidP="07C56693" w:rsidRDefault="58B9EA78" w14:paraId="0BA97AD3" w14:textId="11B875D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58B9EA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Stroke and Trauma activations are treated emergently, and don't need a Cr prior to contrast</w:t>
      </w:r>
    </w:p>
    <w:p w:rsidR="0B9C0E6E" w:rsidP="07C56693" w:rsidRDefault="0B9C0E6E" w14:paraId="1C5AE14B" w14:textId="0117E612">
      <w:pPr>
        <w:pStyle w:val="ListParagraph"/>
        <w:numPr>
          <w:ilvl w:val="0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The following is a </w:t>
      </w:r>
      <w:r w:rsidRPr="07C56693" w:rsidR="0B9C0E6E">
        <w:rPr>
          <w:noProof w:val="0"/>
          <w:sz w:val="22"/>
          <w:szCs w:val="22"/>
          <w:u w:val="single"/>
          <w:lang w:val="en-US"/>
        </w:rPr>
        <w:t>suggested list of risk factors</w:t>
      </w:r>
      <w:r w:rsidRPr="07C56693" w:rsidR="0B9C0E6E">
        <w:rPr>
          <w:noProof w:val="0"/>
          <w:sz w:val="22"/>
          <w:szCs w:val="22"/>
          <w:lang w:val="en-US"/>
        </w:rPr>
        <w:t xml:space="preserve"> that may warrant renal function assessment (e.g., serum creatinine, </w:t>
      </w:r>
      <w:r w:rsidRPr="07C56693" w:rsidR="06808AE9">
        <w:rPr>
          <w:noProof w:val="0"/>
          <w:sz w:val="22"/>
          <w:szCs w:val="22"/>
          <w:lang w:val="en-US"/>
        </w:rPr>
        <w:t>GFR</w:t>
      </w:r>
      <w:r w:rsidRPr="07C56693" w:rsidR="0B9C0E6E">
        <w:rPr>
          <w:noProof w:val="0"/>
          <w:sz w:val="22"/>
          <w:szCs w:val="22"/>
          <w:lang w:val="en-US"/>
        </w:rPr>
        <w:t xml:space="preserve">) prior to the administration of contrast </w:t>
      </w:r>
    </w:p>
    <w:p w:rsidR="0B9C0E6E" w:rsidP="07C56693" w:rsidRDefault="0B9C0E6E" w14:paraId="0D7A9982" w14:textId="4CB67BB0">
      <w:pPr>
        <w:pStyle w:val="ListParagraph"/>
        <w:numPr>
          <w:ilvl w:val="1"/>
          <w:numId w:val="1"/>
        </w:numPr>
        <w:jc w:val="left"/>
        <w:rPr>
          <w:b w:val="0"/>
          <w:bCs w:val="0"/>
          <w:noProof w:val="0"/>
          <w:sz w:val="22"/>
          <w:szCs w:val="22"/>
          <w:lang w:val="en-US"/>
        </w:rPr>
      </w:pPr>
      <w:r w:rsidRPr="07C56693" w:rsidR="0B9C0E6E">
        <w:rPr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7C56693" w:rsidR="262CE4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≥</w:t>
      </w:r>
      <w:r w:rsidRPr="07C56693" w:rsidR="262CE46A">
        <w:rPr>
          <w:b w:val="0"/>
          <w:bCs w:val="0"/>
          <w:sz w:val="22"/>
          <w:szCs w:val="22"/>
        </w:rPr>
        <w:t>60yo</w:t>
      </w:r>
    </w:p>
    <w:p w:rsidR="0B9C0E6E" w:rsidP="07C56693" w:rsidRDefault="0B9C0E6E" w14:paraId="088118FE" w14:textId="6B82F1B8">
      <w:pPr>
        <w:pStyle w:val="ListParagraph"/>
        <w:numPr>
          <w:ilvl w:val="1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 History of renal disease, </w:t>
      </w:r>
      <w:r w:rsidRPr="07C56693" w:rsidR="0B9C0E6E">
        <w:rPr>
          <w:noProof w:val="0"/>
          <w:sz w:val="22"/>
          <w:szCs w:val="22"/>
          <w:lang w:val="en-US"/>
        </w:rPr>
        <w:t>including:</w:t>
      </w:r>
      <w:r w:rsidRPr="07C56693" w:rsidR="0B9C0E6E">
        <w:rPr>
          <w:noProof w:val="0"/>
          <w:sz w:val="22"/>
          <w:szCs w:val="22"/>
          <w:lang w:val="en-US"/>
        </w:rPr>
        <w:t xml:space="preserve"> </w:t>
      </w:r>
    </w:p>
    <w:p w:rsidR="0B9C0E6E" w:rsidP="07C56693" w:rsidRDefault="0B9C0E6E" w14:paraId="72FD1577" w14:textId="1BB2994D">
      <w:pPr>
        <w:pStyle w:val="ListParagraph"/>
        <w:numPr>
          <w:ilvl w:val="2"/>
          <w:numId w:val="1"/>
        </w:numPr>
        <w:jc w:val="left"/>
        <w:rPr>
          <w:noProof w:val="0"/>
          <w:sz w:val="22"/>
          <w:szCs w:val="22"/>
          <w:lang w:val="en-US"/>
        </w:rPr>
      </w:pPr>
      <w:proofErr w:type="spellStart"/>
      <w:r w:rsidRPr="07C56693" w:rsidR="0B9C0E6E">
        <w:rPr>
          <w:noProof w:val="0"/>
          <w:sz w:val="22"/>
          <w:szCs w:val="22"/>
          <w:lang w:val="en-US"/>
        </w:rPr>
        <w:t>i</w:t>
      </w:r>
      <w:proofErr w:type="spellEnd"/>
      <w:r w:rsidRPr="07C56693" w:rsidR="0B9C0E6E">
        <w:rPr>
          <w:noProof w:val="0"/>
          <w:sz w:val="22"/>
          <w:szCs w:val="22"/>
          <w:lang w:val="en-US"/>
        </w:rPr>
        <w:t xml:space="preserve">. Dialysis </w:t>
      </w:r>
    </w:p>
    <w:p w:rsidR="0B9C0E6E" w:rsidP="07C56693" w:rsidRDefault="0B9C0E6E" w14:paraId="3C158813" w14:textId="69426014">
      <w:pPr>
        <w:pStyle w:val="ListParagraph"/>
        <w:numPr>
          <w:ilvl w:val="2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ii. Kidney transplant </w:t>
      </w:r>
    </w:p>
    <w:p w:rsidR="0B9C0E6E" w:rsidP="07C56693" w:rsidRDefault="0B9C0E6E" w14:paraId="2D06314A" w14:textId="29CAC31B">
      <w:pPr>
        <w:pStyle w:val="ListParagraph"/>
        <w:numPr>
          <w:ilvl w:val="2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iii. Single kidney </w:t>
      </w:r>
    </w:p>
    <w:p w:rsidR="0B9C0E6E" w:rsidP="07C56693" w:rsidRDefault="0B9C0E6E" w14:paraId="1D2B8B7B" w14:textId="2A523958">
      <w:pPr>
        <w:pStyle w:val="ListParagraph"/>
        <w:numPr>
          <w:ilvl w:val="2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iv. Renal cancer </w:t>
      </w:r>
    </w:p>
    <w:p w:rsidR="0B9C0E6E" w:rsidP="07C56693" w:rsidRDefault="0B9C0E6E" w14:paraId="1858BD3C" w14:textId="239DE31C">
      <w:pPr>
        <w:pStyle w:val="ListParagraph"/>
        <w:numPr>
          <w:ilvl w:val="2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v. Renal surgery </w:t>
      </w:r>
    </w:p>
    <w:p w:rsidR="0B9C0E6E" w:rsidP="07C56693" w:rsidRDefault="0B9C0E6E" w14:paraId="30DEEA9F" w14:textId="58E34BC8">
      <w:pPr>
        <w:pStyle w:val="ListParagraph"/>
        <w:numPr>
          <w:ilvl w:val="0"/>
          <w:numId w:val="2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>History of hypertension requiring medical therapy</w:t>
      </w:r>
    </w:p>
    <w:p w:rsidR="0B9C0E6E" w:rsidP="07C56693" w:rsidRDefault="0B9C0E6E" w14:paraId="5312ADD0" w14:textId="6675D383">
      <w:pPr>
        <w:pStyle w:val="ListParagraph"/>
        <w:numPr>
          <w:ilvl w:val="0"/>
          <w:numId w:val="2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>History of diabetes mellitus</w:t>
      </w:r>
    </w:p>
    <w:p w:rsidR="0B9C0E6E" w:rsidP="07C56693" w:rsidRDefault="0B9C0E6E" w14:paraId="14943133" w14:textId="1CB1FAE3">
      <w:pPr>
        <w:pStyle w:val="ListParagraph"/>
        <w:numPr>
          <w:ilvl w:val="0"/>
          <w:numId w:val="2"/>
        </w:numPr>
        <w:jc w:val="left"/>
        <w:rPr>
          <w:noProof w:val="0"/>
          <w:sz w:val="22"/>
          <w:szCs w:val="22"/>
          <w:lang w:val="en-US"/>
        </w:rPr>
      </w:pPr>
      <w:r w:rsidRPr="07C56693" w:rsidR="0B9C0E6E">
        <w:rPr>
          <w:noProof w:val="0"/>
          <w:sz w:val="22"/>
          <w:szCs w:val="22"/>
          <w:lang w:val="en-US"/>
        </w:rPr>
        <w:t xml:space="preserve">Metformin or metformin-containing drug combinations </w:t>
      </w:r>
    </w:p>
    <w:p w:rsidR="69A8C21F" w:rsidP="07C56693" w:rsidRDefault="69A8C21F" w14:paraId="6856E630" w14:textId="18B52395">
      <w:pPr>
        <w:pStyle w:val="ListParagraph"/>
        <w:numPr>
          <w:ilvl w:val="1"/>
          <w:numId w:val="2"/>
        </w:numPr>
        <w:jc w:val="left"/>
        <w:rPr>
          <w:noProof w:val="0"/>
          <w:sz w:val="22"/>
          <w:szCs w:val="22"/>
          <w:lang w:val="en-US"/>
        </w:rPr>
      </w:pPr>
      <w:r w:rsidRPr="07C56693" w:rsidR="69A8C21F">
        <w:rPr>
          <w:noProof w:val="0"/>
          <w:sz w:val="22"/>
          <w:szCs w:val="22"/>
          <w:lang w:val="en-US"/>
        </w:rPr>
        <w:t xml:space="preserve">GLUCOPHAGE, GLUCOPHAGE XR, FORTAMET, GLUMETZA, RIOMET,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alogliptin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(KAZANO),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canagliflozin (INVOKAMET); INVOKAMET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dapagliflozin (XIGDUO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empagliflozin (SYNJARDY®, SYNJARDY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glipiZIDE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(METAGLIP®)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glyBURIDE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(GLUCOVANCE®)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linagliptin (JENTADUETO®; JENTADUETO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pioglitazone (ACTOPLUS MET®; ACTOPLUS MET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repaglinide (PRANDIMET®)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rosiglitazone (AVANDAMET®)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sAXagliptin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(KOMBIGLYZE XR®)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metFORMIN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+ </w:t>
      </w:r>
      <w:proofErr w:type="spellStart"/>
      <w:r w:rsidRPr="07C56693" w:rsidR="69A8C21F">
        <w:rPr>
          <w:noProof w:val="0"/>
          <w:sz w:val="22"/>
          <w:szCs w:val="22"/>
          <w:lang w:val="en-US"/>
        </w:rPr>
        <w:t>SITagliptin</w:t>
      </w:r>
      <w:proofErr w:type="spellEnd"/>
      <w:r w:rsidRPr="07C56693" w:rsidR="69A8C21F">
        <w:rPr>
          <w:noProof w:val="0"/>
          <w:sz w:val="22"/>
          <w:szCs w:val="22"/>
          <w:lang w:val="en-US"/>
        </w:rPr>
        <w:t xml:space="preserve"> (JANUMET®, JANUMET XR®</w:t>
      </w:r>
    </w:p>
    <w:p w:rsidR="29DC5170" w:rsidP="07C56693" w:rsidRDefault="29DC5170" w14:paraId="3330539C" w14:textId="67E0AF0B">
      <w:pPr>
        <w:pStyle w:val="Normal"/>
        <w:jc w:val="left"/>
        <w:rPr>
          <w:b w:val="1"/>
          <w:bCs w:val="1"/>
          <w:color w:val="auto" w:themeColor="accent1" w:themeTint="FF" w:themeShade="FF"/>
          <w:sz w:val="32"/>
          <w:szCs w:val="32"/>
          <w:u w:val="single"/>
        </w:rPr>
      </w:pPr>
      <w:r>
        <w:br/>
      </w:r>
      <w:r w:rsidRPr="07C56693" w:rsidR="29DC5170">
        <w:rPr>
          <w:b w:val="1"/>
          <w:bCs w:val="1"/>
          <w:color w:val="auto"/>
          <w:sz w:val="32"/>
          <w:szCs w:val="32"/>
          <w:u w:val="single"/>
        </w:rPr>
        <w:t>Pregnancy test</w:t>
      </w:r>
      <w:r w:rsidRPr="07C56693" w:rsidR="6A41B933">
        <w:rPr>
          <w:b w:val="1"/>
          <w:bCs w:val="1"/>
          <w:color w:val="auto"/>
          <w:sz w:val="32"/>
          <w:szCs w:val="32"/>
          <w:u w:val="none"/>
        </w:rPr>
        <w:t>:</w:t>
      </w:r>
    </w:p>
    <w:p w:rsidR="33700A3A" w:rsidP="07C56693" w:rsidRDefault="33700A3A" w14:paraId="68BA60E9" w14:textId="76ADB23B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33700A3A">
        <w:rPr>
          <w:b w:val="1"/>
          <w:bCs w:val="1"/>
          <w:color w:val="auto"/>
          <w:sz w:val="22"/>
          <w:szCs w:val="22"/>
          <w:u w:val="none"/>
        </w:rPr>
        <w:t>Exams where the exposure is not in the abdominal or pelvic area DO NOT NEED a preg</w:t>
      </w:r>
      <w:r w:rsidRPr="07C56693" w:rsidR="30B9D49D">
        <w:rPr>
          <w:b w:val="1"/>
          <w:bCs w:val="1"/>
          <w:color w:val="auto"/>
          <w:sz w:val="22"/>
          <w:szCs w:val="22"/>
          <w:u w:val="none"/>
        </w:rPr>
        <w:t>nancy</w:t>
      </w:r>
      <w:r w:rsidRPr="07C56693" w:rsidR="33700A3A">
        <w:rPr>
          <w:b w:val="1"/>
          <w:bCs w:val="1"/>
          <w:color w:val="auto"/>
          <w:sz w:val="22"/>
          <w:szCs w:val="22"/>
          <w:u w:val="none"/>
        </w:rPr>
        <w:t xml:space="preserve"> test</w:t>
      </w:r>
    </w:p>
    <w:p w:rsidR="7214EF6B" w:rsidP="07C56693" w:rsidRDefault="7214EF6B" w14:paraId="5C85C7D6" w14:textId="505205CF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7214EF6B">
        <w:rPr>
          <w:b w:val="1"/>
          <w:bCs w:val="1"/>
          <w:color w:val="auto"/>
          <w:sz w:val="22"/>
          <w:szCs w:val="22"/>
          <w:u w:val="none"/>
        </w:rPr>
        <w:t xml:space="preserve">Non emergent </w:t>
      </w:r>
      <w:r w:rsidRPr="07C56693" w:rsidR="51676204">
        <w:rPr>
          <w:b w:val="1"/>
          <w:bCs w:val="1"/>
          <w:color w:val="auto"/>
          <w:sz w:val="22"/>
          <w:szCs w:val="22"/>
          <w:u w:val="none"/>
        </w:rPr>
        <w:t xml:space="preserve">abdominal or pelvic area imaging </w:t>
      </w:r>
      <w:r w:rsidRPr="07C56693" w:rsidR="7214EF6B">
        <w:rPr>
          <w:b w:val="1"/>
          <w:bCs w:val="1"/>
          <w:color w:val="auto"/>
          <w:sz w:val="22"/>
          <w:szCs w:val="22"/>
          <w:u w:val="none"/>
        </w:rPr>
        <w:t xml:space="preserve">for females </w:t>
      </w:r>
      <w:r w:rsidRPr="07C56693" w:rsidR="14F4804E">
        <w:rPr>
          <w:b w:val="1"/>
          <w:bCs w:val="1"/>
          <w:color w:val="auto"/>
          <w:sz w:val="22"/>
          <w:szCs w:val="22"/>
          <w:u w:val="none"/>
        </w:rPr>
        <w:t>10-55yo</w:t>
      </w:r>
      <w:r w:rsidRPr="07C56693" w:rsidR="686D0D64">
        <w:rPr>
          <w:b w:val="1"/>
          <w:bCs w:val="1"/>
          <w:color w:val="auto"/>
          <w:sz w:val="22"/>
          <w:szCs w:val="22"/>
          <w:u w:val="none"/>
        </w:rPr>
        <w:t xml:space="preserve">: NEED </w:t>
      </w:r>
      <w:r w:rsidRPr="07C56693" w:rsidR="2AEFEE5C">
        <w:rPr>
          <w:b w:val="1"/>
          <w:bCs w:val="1"/>
          <w:color w:val="auto"/>
          <w:sz w:val="22"/>
          <w:szCs w:val="22"/>
          <w:u w:val="none"/>
        </w:rPr>
        <w:t xml:space="preserve">a </w:t>
      </w:r>
      <w:r w:rsidRPr="07C56693" w:rsidR="686D0D64">
        <w:rPr>
          <w:b w:val="1"/>
          <w:bCs w:val="1"/>
          <w:color w:val="auto"/>
          <w:sz w:val="22"/>
          <w:szCs w:val="22"/>
          <w:u w:val="none"/>
        </w:rPr>
        <w:t>preg</w:t>
      </w:r>
      <w:r w:rsidRPr="07C56693" w:rsidR="1039B8F6">
        <w:rPr>
          <w:b w:val="1"/>
          <w:bCs w:val="1"/>
          <w:color w:val="auto"/>
          <w:sz w:val="22"/>
          <w:szCs w:val="22"/>
          <w:u w:val="none"/>
        </w:rPr>
        <w:t>nancy</w:t>
      </w:r>
      <w:r w:rsidRPr="07C56693" w:rsidR="686D0D64">
        <w:rPr>
          <w:b w:val="1"/>
          <w:bCs w:val="1"/>
          <w:color w:val="auto"/>
          <w:sz w:val="22"/>
          <w:szCs w:val="22"/>
          <w:u w:val="none"/>
        </w:rPr>
        <w:t xml:space="preserve"> test</w:t>
      </w:r>
    </w:p>
    <w:p w:rsidR="3C019B5D" w:rsidP="07C56693" w:rsidRDefault="3C019B5D" w14:paraId="4C98F0D6" w14:textId="38FB7A49">
      <w:pPr>
        <w:pStyle w:val="ListParagraph"/>
        <w:numPr>
          <w:ilvl w:val="1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3C019B5D">
        <w:rPr>
          <w:b w:val="1"/>
          <w:bCs w:val="1"/>
          <w:color w:val="auto"/>
          <w:sz w:val="22"/>
          <w:szCs w:val="22"/>
          <w:u w:val="none"/>
        </w:rPr>
        <w:t>XR, CT, fluoroscopy o</w:t>
      </w:r>
      <w:r w:rsidRPr="07C56693" w:rsidR="3128C4E9">
        <w:rPr>
          <w:b w:val="1"/>
          <w:bCs w:val="1"/>
          <w:color w:val="auto"/>
          <w:sz w:val="22"/>
          <w:szCs w:val="22"/>
          <w:u w:val="none"/>
        </w:rPr>
        <w:t>f</w:t>
      </w:r>
      <w:r w:rsidRPr="07C56693" w:rsidR="3C019B5D">
        <w:rPr>
          <w:b w:val="1"/>
          <w:bCs w:val="1"/>
          <w:color w:val="auto"/>
          <w:sz w:val="22"/>
          <w:szCs w:val="22"/>
          <w:u w:val="none"/>
        </w:rPr>
        <w:t xml:space="preserve"> hips, abdomen, pelvis</w:t>
      </w:r>
      <w:r w:rsidRPr="07C56693" w:rsidR="378F5B4D">
        <w:rPr>
          <w:b w:val="1"/>
          <w:bCs w:val="1"/>
          <w:color w:val="auto"/>
          <w:sz w:val="22"/>
          <w:szCs w:val="22"/>
          <w:u w:val="none"/>
        </w:rPr>
        <w:t xml:space="preserve"> and</w:t>
      </w:r>
      <w:r w:rsidRPr="07C56693" w:rsidR="3C019B5D">
        <w:rPr>
          <w:b w:val="1"/>
          <w:bCs w:val="1"/>
          <w:color w:val="auto"/>
          <w:sz w:val="22"/>
          <w:szCs w:val="22"/>
          <w:u w:val="none"/>
        </w:rPr>
        <w:t xml:space="preserve"> L spine</w:t>
      </w:r>
    </w:p>
    <w:p w:rsidR="416E0697" w:rsidP="07C56693" w:rsidRDefault="416E0697" w14:paraId="5D10ACAF" w14:textId="6649A51F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416E0697">
        <w:rPr>
          <w:b w:val="1"/>
          <w:bCs w:val="1"/>
          <w:color w:val="auto"/>
          <w:sz w:val="22"/>
          <w:szCs w:val="22"/>
          <w:u w:val="none"/>
        </w:rPr>
        <w:t>Emergent exams (trauma, stroke, unstable):</w:t>
      </w:r>
      <w:r w:rsidRPr="07C56693" w:rsidR="57305C99">
        <w:rPr>
          <w:b w:val="1"/>
          <w:bCs w:val="1"/>
          <w:color w:val="auto"/>
          <w:sz w:val="22"/>
          <w:szCs w:val="22"/>
          <w:u w:val="none"/>
        </w:rPr>
        <w:t xml:space="preserve"> DO NOT NEED a preg</w:t>
      </w:r>
      <w:r w:rsidRPr="07C56693" w:rsidR="03C34C90">
        <w:rPr>
          <w:b w:val="1"/>
          <w:bCs w:val="1"/>
          <w:color w:val="auto"/>
          <w:sz w:val="22"/>
          <w:szCs w:val="22"/>
          <w:u w:val="none"/>
        </w:rPr>
        <w:t>nancy</w:t>
      </w:r>
      <w:r w:rsidRPr="07C56693" w:rsidR="57305C99">
        <w:rPr>
          <w:b w:val="1"/>
          <w:bCs w:val="1"/>
          <w:color w:val="auto"/>
          <w:sz w:val="22"/>
          <w:szCs w:val="22"/>
          <w:u w:val="none"/>
        </w:rPr>
        <w:t xml:space="preserve"> test</w:t>
      </w:r>
    </w:p>
    <w:p w:rsidR="4EB12C67" w:rsidP="07C56693" w:rsidRDefault="4EB12C67" w14:paraId="10948E79" w14:textId="7DB8A222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4EB12C67">
        <w:rPr>
          <w:b w:val="1"/>
          <w:bCs w:val="1"/>
          <w:color w:val="auto"/>
          <w:sz w:val="22"/>
          <w:szCs w:val="22"/>
          <w:u w:val="none"/>
        </w:rPr>
        <w:t xml:space="preserve">If LMP is over 10 days, pregnancy test is required </w:t>
      </w:r>
    </w:p>
    <w:p w:rsidR="4EB12C67" w:rsidP="07C56693" w:rsidRDefault="4EB12C67" w14:paraId="51A016F6" w14:textId="29F2AE41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auto"/>
          <w:sz w:val="22"/>
          <w:szCs w:val="22"/>
          <w:u w:val="none"/>
        </w:rPr>
      </w:pPr>
      <w:r w:rsidRPr="07C56693" w:rsidR="4EB12C67">
        <w:rPr>
          <w:b w:val="0"/>
          <w:bCs w:val="0"/>
          <w:color w:val="auto"/>
          <w:sz w:val="22"/>
          <w:szCs w:val="22"/>
          <w:u w:val="none"/>
        </w:rPr>
        <w:t xml:space="preserve">If the patient is pregnant and receiving the </w:t>
      </w:r>
      <w:r w:rsidRPr="07C56693" w:rsidR="07E9A65F">
        <w:rPr>
          <w:b w:val="0"/>
          <w:bCs w:val="0"/>
          <w:color w:val="auto"/>
          <w:sz w:val="22"/>
          <w:szCs w:val="22"/>
          <w:u w:val="none"/>
        </w:rPr>
        <w:t>above-mentioned</w:t>
      </w:r>
      <w:r w:rsidRPr="07C56693" w:rsidR="4EB12C67">
        <w:rPr>
          <w:b w:val="0"/>
          <w:bCs w:val="0"/>
          <w:color w:val="auto"/>
          <w:sz w:val="22"/>
          <w:szCs w:val="22"/>
          <w:u w:val="none"/>
        </w:rPr>
        <w:t xml:space="preserve"> tests:</w:t>
      </w:r>
    </w:p>
    <w:p w:rsidR="4EB12C67" w:rsidP="07C56693" w:rsidRDefault="4EB12C67" w14:paraId="14ECEEF9" w14:textId="7BE7A184">
      <w:pPr>
        <w:pStyle w:val="ListParagraph"/>
        <w:numPr>
          <w:ilvl w:val="1"/>
          <w:numId w:val="6"/>
        </w:numPr>
        <w:jc w:val="left"/>
        <w:rPr>
          <w:b w:val="0"/>
          <w:bCs w:val="0"/>
          <w:color w:val="auto"/>
          <w:sz w:val="22"/>
          <w:szCs w:val="22"/>
          <w:u w:val="none"/>
        </w:rPr>
      </w:pPr>
      <w:r w:rsidRPr="07C56693" w:rsidR="4EB12C67">
        <w:rPr>
          <w:b w:val="0"/>
          <w:bCs w:val="0"/>
          <w:color w:val="auto"/>
          <w:sz w:val="22"/>
          <w:szCs w:val="22"/>
          <w:u w:val="none"/>
        </w:rPr>
        <w:t xml:space="preserve">XR tech will notify the provider. Provider will provide order guidance or approval to proceed with current exam order. The provider must contact the </w:t>
      </w:r>
      <w:r w:rsidRPr="07C56693" w:rsidR="45110904">
        <w:rPr>
          <w:b w:val="0"/>
          <w:bCs w:val="0"/>
          <w:color w:val="auto"/>
          <w:sz w:val="22"/>
          <w:szCs w:val="22"/>
          <w:u w:val="none"/>
        </w:rPr>
        <w:t>R</w:t>
      </w:r>
      <w:r w:rsidRPr="07C56693" w:rsidR="4EB12C67">
        <w:rPr>
          <w:b w:val="0"/>
          <w:bCs w:val="0"/>
          <w:color w:val="auto"/>
          <w:sz w:val="22"/>
          <w:szCs w:val="22"/>
          <w:u w:val="none"/>
        </w:rPr>
        <w:t xml:space="preserve">adiologist to discuss and determine appropriate exam </w:t>
      </w:r>
      <w:r w:rsidRPr="07C56693" w:rsidR="6CA88431">
        <w:rPr>
          <w:b w:val="0"/>
          <w:bCs w:val="0"/>
          <w:color w:val="auto"/>
          <w:sz w:val="22"/>
          <w:szCs w:val="22"/>
          <w:u w:val="none"/>
        </w:rPr>
        <w:t xml:space="preserve">for the patient. If determined that CT is indicated, the Radiologist will personally advise the CT tech to proceed </w:t>
      </w:r>
    </w:p>
    <w:p w:rsidR="69F24E94" w:rsidP="07C56693" w:rsidRDefault="69F24E94" w14:paraId="25274D98" w14:textId="372FEB44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69F24E94">
        <w:rPr>
          <w:b w:val="1"/>
          <w:bCs w:val="1"/>
          <w:color w:val="auto"/>
          <w:sz w:val="22"/>
          <w:szCs w:val="22"/>
          <w:u w:val="none"/>
        </w:rPr>
        <w:t xml:space="preserve">Patients with IUD, contraception device or tubal ligation </w:t>
      </w:r>
      <w:r w:rsidRPr="07C56693" w:rsidR="15E7A2BC">
        <w:rPr>
          <w:b w:val="1"/>
          <w:bCs w:val="1"/>
          <w:color w:val="auto"/>
          <w:sz w:val="22"/>
          <w:szCs w:val="22"/>
          <w:u w:val="none"/>
        </w:rPr>
        <w:t>will follow the above protocol for pregnancy test as these methods are not 100% effective</w:t>
      </w:r>
    </w:p>
    <w:p w:rsidR="6CA88431" w:rsidP="07C56693" w:rsidRDefault="6CA88431" w14:paraId="340BA61A" w14:textId="3EC3AC83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6CA88431">
        <w:rPr>
          <w:b w:val="1"/>
          <w:bCs w:val="1"/>
          <w:color w:val="auto"/>
          <w:sz w:val="22"/>
          <w:szCs w:val="22"/>
          <w:u w:val="none"/>
        </w:rPr>
        <w:t>Pregnancy test can be waived if:</w:t>
      </w:r>
    </w:p>
    <w:p w:rsidR="6CA88431" w:rsidP="07C56693" w:rsidRDefault="6CA88431" w14:paraId="54BE0553" w14:textId="5341EF74">
      <w:pPr>
        <w:pStyle w:val="ListParagraph"/>
        <w:numPr>
          <w:ilvl w:val="1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proofErr w:type="spellStart"/>
      <w:r w:rsidRPr="07C56693" w:rsidR="6CA88431">
        <w:rPr>
          <w:b w:val="1"/>
          <w:bCs w:val="1"/>
          <w:color w:val="auto"/>
          <w:sz w:val="22"/>
          <w:szCs w:val="22"/>
          <w:u w:val="none"/>
        </w:rPr>
        <w:t>Hx</w:t>
      </w:r>
      <w:proofErr w:type="spellEnd"/>
      <w:r w:rsidRPr="07C56693" w:rsidR="6CA88431">
        <w:rPr>
          <w:b w:val="1"/>
          <w:bCs w:val="1"/>
          <w:color w:val="auto"/>
          <w:sz w:val="22"/>
          <w:szCs w:val="22"/>
          <w:u w:val="none"/>
        </w:rPr>
        <w:t xml:space="preserve"> of hysterectomy</w:t>
      </w:r>
    </w:p>
    <w:p w:rsidR="6CA88431" w:rsidP="07C56693" w:rsidRDefault="6CA88431" w14:paraId="12ED6EA8" w14:textId="4B5E5F89">
      <w:pPr>
        <w:pStyle w:val="ListParagraph"/>
        <w:numPr>
          <w:ilvl w:val="1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6CA88431">
        <w:rPr>
          <w:b w:val="1"/>
          <w:bCs w:val="1"/>
          <w:color w:val="auto"/>
          <w:sz w:val="22"/>
          <w:szCs w:val="22"/>
          <w:u w:val="none"/>
        </w:rPr>
        <w:t>Bilateral ovarian removal</w:t>
      </w:r>
    </w:p>
    <w:p w:rsidR="6CA88431" w:rsidP="07C56693" w:rsidRDefault="6CA88431" w14:paraId="499B8464" w14:textId="19C1DE5E">
      <w:pPr>
        <w:pStyle w:val="ListParagraph"/>
        <w:numPr>
          <w:ilvl w:val="1"/>
          <w:numId w:val="6"/>
        </w:numPr>
        <w:jc w:val="left"/>
        <w:rPr>
          <w:b w:val="1"/>
          <w:bCs w:val="1"/>
          <w:color w:val="auto"/>
          <w:sz w:val="22"/>
          <w:szCs w:val="22"/>
          <w:u w:val="none"/>
        </w:rPr>
      </w:pPr>
      <w:r w:rsidRPr="07C56693" w:rsidR="6CA88431">
        <w:rPr>
          <w:b w:val="1"/>
          <w:bCs w:val="1"/>
          <w:color w:val="auto"/>
          <w:sz w:val="22"/>
          <w:szCs w:val="22"/>
          <w:u w:val="none"/>
        </w:rPr>
        <w:t xml:space="preserve">Post menopausal (no menses </w:t>
      </w:r>
      <w:r w:rsidRPr="07C56693" w:rsidR="6CA884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US"/>
        </w:rPr>
        <w:t>≥</w:t>
      </w:r>
      <w:r w:rsidRPr="07C56693" w:rsidR="6CA88431">
        <w:rPr>
          <w:b w:val="1"/>
          <w:bCs w:val="1"/>
          <w:color w:val="auto"/>
          <w:sz w:val="22"/>
          <w:szCs w:val="22"/>
          <w:u w:val="none"/>
        </w:rPr>
        <w:t xml:space="preserve"> 1 year and not on contraception)</w:t>
      </w:r>
    </w:p>
    <w:p w:rsidR="053370C2" w:rsidP="07C56693" w:rsidRDefault="053370C2" w14:paraId="36946439" w14:textId="563E62F7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07C56693" w:rsidR="05337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Contrast Allergy Protocol:</w:t>
      </w:r>
    </w:p>
    <w:p w:rsidR="053370C2" w:rsidP="07C56693" w:rsidRDefault="053370C2" w14:paraId="33643E52" w14:textId="6A4BECCB">
      <w:pPr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05337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1. Accelerated Premedication Regimen (requires 4-6 hours) </w:t>
      </w:r>
    </w:p>
    <w:p w:rsidR="053370C2" w:rsidP="07C56693" w:rsidRDefault="053370C2" w14:paraId="6C4754FE" w14:textId="5D102883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proofErr w:type="spellStart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MethylPREDNISolone</w:t>
      </w:r>
      <w:proofErr w:type="spellEnd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Succinate 40 mg IV every 4 hours (q4h) until contrast study required. </w:t>
      </w:r>
    </w:p>
    <w:p w:rsidR="053370C2" w:rsidP="07C56693" w:rsidRDefault="053370C2" w14:paraId="7DF73463" w14:textId="52FA3A2B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proofErr w:type="spellStart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DiphenhydrAMINE</w:t>
      </w:r>
      <w:proofErr w:type="spellEnd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50 mg IV, 1 hour prior to contrast injection. e. NOTE: IV steroids have not been shown to be effective when administered less than 4 to 6 hours prior to contrast injection.</w:t>
      </w:r>
    </w:p>
    <w:p w:rsidR="053370C2" w:rsidP="07C56693" w:rsidRDefault="053370C2" w14:paraId="420CE0C9" w14:textId="5494D501">
      <w:pPr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05337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2. Elective 13-Hour Premedication Regimen</w:t>
      </w:r>
    </w:p>
    <w:p w:rsidR="053370C2" w:rsidP="07C56693" w:rsidRDefault="053370C2" w14:paraId="5668AE8A" w14:textId="423E7FEE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Prednisone 50 mg by mouth at 13 hours, 7 hours and 1-hour prior of contrast injection. </w:t>
      </w:r>
    </w:p>
    <w:p w:rsidR="053370C2" w:rsidP="07C56693" w:rsidRDefault="053370C2" w14:paraId="6A172DAD" w14:textId="17C7E474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proofErr w:type="spellStart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</w:t>
      </w:r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iphenhydrAMINE</w:t>
      </w:r>
      <w:proofErr w:type="spellEnd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50 mg, by mouth 1 hour prior to contrast injection. </w:t>
      </w:r>
    </w:p>
    <w:p w:rsidR="053370C2" w:rsidP="07C56693" w:rsidRDefault="053370C2" w14:paraId="416DF3FB" w14:textId="20B4F253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05337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3. Emergency / rare clinical situations</w:t>
      </w:r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w:rsidR="053370C2" w:rsidP="07C56693" w:rsidRDefault="053370C2" w14:paraId="64C9BF33" w14:textId="4AA875CC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Emergency department patient or inpatient with a prior allergic-like or unknown-type contrast reaction to the same class of contrast medium (e.g., iodinated) in who the use of 12- or 13-hour premedication is anticipated to adversely delay care decisions or treatment. In rare clinical situations (</w:t>
      </w:r>
      <w:proofErr w:type="spellStart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ie</w:t>
      </w:r>
      <w:proofErr w:type="spellEnd"/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trauma patients) the urgency of a contrast enhanced examination may outweigh the benefits of prophylaxis, regardless of duration, necessitating that contrast medium be administered to a high-risk patient in the absence of premedication. </w:t>
      </w:r>
      <w:r w:rsidRPr="07C56693" w:rsidR="05337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is best made jointly by the radiology team, the referring service, and potentially the patient (if feasible). In such cases, a team of individuals skilled in resuscitation should be available during the injection to monitor for and appropriately manage any developing reaction</w:t>
      </w:r>
      <w:r w:rsidRPr="07C56693" w:rsidR="05337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</w:p>
    <w:p w:rsidR="07C56693" w:rsidP="07C56693" w:rsidRDefault="07C56693" w14:paraId="0E7F9817" w14:textId="40A3973D">
      <w:pPr>
        <w:pStyle w:val="Normal"/>
        <w:jc w:val="left"/>
        <w:rPr>
          <w:b w:val="1"/>
          <w:bCs w:val="1"/>
          <w:color w:val="auto"/>
          <w:sz w:val="22"/>
          <w:szCs w:val="22"/>
          <w:u w:val="none"/>
        </w:rPr>
      </w:pPr>
    </w:p>
    <w:p w:rsidR="07C56693" w:rsidP="07C56693" w:rsidRDefault="07C56693" w14:paraId="534BF06E" w14:textId="28D65932">
      <w:pPr>
        <w:pStyle w:val="Normal"/>
        <w:jc w:val="left"/>
        <w:rPr>
          <w:b w:val="1"/>
          <w:bCs w:val="1"/>
          <w:color w:val="auto"/>
          <w:sz w:val="32"/>
          <w:szCs w:val="32"/>
          <w:u w:val="single"/>
        </w:rPr>
      </w:pPr>
    </w:p>
    <w:p w:rsidR="07C56693" w:rsidP="07C56693" w:rsidRDefault="07C56693" w14:paraId="2A14B24F" w14:textId="4B55EC0D">
      <w:pPr>
        <w:pStyle w:val="Normal"/>
        <w:jc w:val="left"/>
        <w:rPr>
          <w:b w:val="0"/>
          <w:bCs w:val="0"/>
          <w:color w:val="auto"/>
          <w:sz w:val="32"/>
          <w:szCs w:val="32"/>
          <w:u w:val="none"/>
        </w:rPr>
      </w:pPr>
    </w:p>
    <w:sectPr w:rsidR="000F6E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1a54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f92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32e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297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1ee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9d5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ccd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ae4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2D"/>
    <w:rsid w:val="000F6ED7"/>
    <w:rsid w:val="0094EF44"/>
    <w:rsid w:val="00A8142D"/>
    <w:rsid w:val="00F403C8"/>
    <w:rsid w:val="0230BFA5"/>
    <w:rsid w:val="0238AD2B"/>
    <w:rsid w:val="027B790B"/>
    <w:rsid w:val="03316C4D"/>
    <w:rsid w:val="03C34C90"/>
    <w:rsid w:val="03D47D8C"/>
    <w:rsid w:val="04A72A9C"/>
    <w:rsid w:val="04EF0D3D"/>
    <w:rsid w:val="053370C2"/>
    <w:rsid w:val="06808AE9"/>
    <w:rsid w:val="070430C8"/>
    <w:rsid w:val="077B88E2"/>
    <w:rsid w:val="07C56693"/>
    <w:rsid w:val="07E9A65F"/>
    <w:rsid w:val="092FB7CA"/>
    <w:rsid w:val="0B34C555"/>
    <w:rsid w:val="0B9C0E6E"/>
    <w:rsid w:val="0BD7A1EB"/>
    <w:rsid w:val="0D73724C"/>
    <w:rsid w:val="0D7B5FD2"/>
    <w:rsid w:val="0F0F42AD"/>
    <w:rsid w:val="0F173033"/>
    <w:rsid w:val="1039B8F6"/>
    <w:rsid w:val="114089DB"/>
    <w:rsid w:val="1246E36F"/>
    <w:rsid w:val="14F4804E"/>
    <w:rsid w:val="157E8431"/>
    <w:rsid w:val="15E7A2BC"/>
    <w:rsid w:val="16610C4D"/>
    <w:rsid w:val="16C08A82"/>
    <w:rsid w:val="171A5492"/>
    <w:rsid w:val="18472360"/>
    <w:rsid w:val="1A59E2DA"/>
    <w:rsid w:val="1AE51DAA"/>
    <w:rsid w:val="1B5B16B2"/>
    <w:rsid w:val="1B5B7ABB"/>
    <w:rsid w:val="1D899616"/>
    <w:rsid w:val="1E0B0C61"/>
    <w:rsid w:val="1FA6DCC2"/>
    <w:rsid w:val="2007EE93"/>
    <w:rsid w:val="2142AD23"/>
    <w:rsid w:val="219BD16E"/>
    <w:rsid w:val="21E8880E"/>
    <w:rsid w:val="22AE3607"/>
    <w:rsid w:val="23274DAF"/>
    <w:rsid w:val="238EADD2"/>
    <w:rsid w:val="2561F395"/>
    <w:rsid w:val="25EA2C6D"/>
    <w:rsid w:val="262CE46A"/>
    <w:rsid w:val="2657B59A"/>
    <w:rsid w:val="280C6528"/>
    <w:rsid w:val="28D43643"/>
    <w:rsid w:val="2995A87C"/>
    <w:rsid w:val="29DC5170"/>
    <w:rsid w:val="2AEFEE5C"/>
    <w:rsid w:val="2B56C406"/>
    <w:rsid w:val="2D4D9264"/>
    <w:rsid w:val="2DC10C31"/>
    <w:rsid w:val="2F017FAB"/>
    <w:rsid w:val="2F281174"/>
    <w:rsid w:val="2F4377C7"/>
    <w:rsid w:val="2F82EEA4"/>
    <w:rsid w:val="2FC6B22F"/>
    <w:rsid w:val="2FE56F83"/>
    <w:rsid w:val="30B9D49D"/>
    <w:rsid w:val="3128C4E9"/>
    <w:rsid w:val="318DE08F"/>
    <w:rsid w:val="32FA1132"/>
    <w:rsid w:val="33700A3A"/>
    <w:rsid w:val="338EBEFA"/>
    <w:rsid w:val="3416E8EA"/>
    <w:rsid w:val="35B5CA16"/>
    <w:rsid w:val="360A6185"/>
    <w:rsid w:val="378F5B4D"/>
    <w:rsid w:val="39122B11"/>
    <w:rsid w:val="3A55DF5D"/>
    <w:rsid w:val="3B688E6E"/>
    <w:rsid w:val="3C019B5D"/>
    <w:rsid w:val="3C1C607A"/>
    <w:rsid w:val="3C3B5F9A"/>
    <w:rsid w:val="3FEF0B9B"/>
    <w:rsid w:val="40B08497"/>
    <w:rsid w:val="40EF5640"/>
    <w:rsid w:val="4160615F"/>
    <w:rsid w:val="416E0697"/>
    <w:rsid w:val="41E7CC58"/>
    <w:rsid w:val="41E96B53"/>
    <w:rsid w:val="42FCD556"/>
    <w:rsid w:val="43C261FD"/>
    <w:rsid w:val="43E82559"/>
    <w:rsid w:val="4401A4DF"/>
    <w:rsid w:val="4402BB18"/>
    <w:rsid w:val="440A494B"/>
    <w:rsid w:val="45110904"/>
    <w:rsid w:val="452BFCC9"/>
    <w:rsid w:val="4544BFDB"/>
    <w:rsid w:val="45CF680E"/>
    <w:rsid w:val="45E772B8"/>
    <w:rsid w:val="4633F0AE"/>
    <w:rsid w:val="471FC61B"/>
    <w:rsid w:val="4835C06D"/>
    <w:rsid w:val="48B4A114"/>
    <w:rsid w:val="4EB12C67"/>
    <w:rsid w:val="5124F487"/>
    <w:rsid w:val="51676204"/>
    <w:rsid w:val="52F9D0C3"/>
    <w:rsid w:val="57305C99"/>
    <w:rsid w:val="5794360B"/>
    <w:rsid w:val="57D7AF43"/>
    <w:rsid w:val="58B9EA78"/>
    <w:rsid w:val="5A70C402"/>
    <w:rsid w:val="5ADB70F9"/>
    <w:rsid w:val="5D2F67F2"/>
    <w:rsid w:val="5DF23CB8"/>
    <w:rsid w:val="5F0F4BD6"/>
    <w:rsid w:val="5FF61C86"/>
    <w:rsid w:val="606708B4"/>
    <w:rsid w:val="61B95757"/>
    <w:rsid w:val="62D6E8B2"/>
    <w:rsid w:val="63FC3CAE"/>
    <w:rsid w:val="64B3B274"/>
    <w:rsid w:val="653C18D2"/>
    <w:rsid w:val="65C28BB1"/>
    <w:rsid w:val="67A2FFA7"/>
    <w:rsid w:val="681785D9"/>
    <w:rsid w:val="686D0D64"/>
    <w:rsid w:val="688CE1F1"/>
    <w:rsid w:val="69A8C21F"/>
    <w:rsid w:val="69F24E94"/>
    <w:rsid w:val="6A0F89F5"/>
    <w:rsid w:val="6A3E34D5"/>
    <w:rsid w:val="6A41B933"/>
    <w:rsid w:val="6AD0BFC0"/>
    <w:rsid w:val="6C4D645B"/>
    <w:rsid w:val="6CA88431"/>
    <w:rsid w:val="7039A7B0"/>
    <w:rsid w:val="7214EF6B"/>
    <w:rsid w:val="7233C437"/>
    <w:rsid w:val="73714872"/>
    <w:rsid w:val="75A125BF"/>
    <w:rsid w:val="76A8E934"/>
    <w:rsid w:val="7710E4E4"/>
    <w:rsid w:val="7891CAE4"/>
    <w:rsid w:val="789B1835"/>
    <w:rsid w:val="7910713D"/>
    <w:rsid w:val="7BC17E20"/>
    <w:rsid w:val="7CEDC5DF"/>
    <w:rsid w:val="7D2AA841"/>
    <w:rsid w:val="7E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5A7"/>
  <w15:chartTrackingRefBased/>
  <w15:docId w15:val="{1B5D8E4E-8945-4185-97D2-505025EE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ec7545cc0d43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Fairuz Despujos</dc:creator>
  <keywords/>
  <dc:description/>
  <lastModifiedBy>Fairuz Despujos Harfouche</lastModifiedBy>
  <revision>9</revision>
  <dcterms:created xsi:type="dcterms:W3CDTF">2023-07-13T23:53:00.0000000Z</dcterms:created>
  <dcterms:modified xsi:type="dcterms:W3CDTF">2023-07-14T19:24:31.3685254Z</dcterms:modified>
</coreProperties>
</file>